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02"/>
        <w:gridCol w:w="5829"/>
        <w:gridCol w:w="3079"/>
      </w:tblGrid>
      <w:tr>
        <w:trPr>
          <w:trHeight w:val="255" w:hRule="atLeast"/>
        </w:trPr>
        <w:tc>
          <w:tcPr>
            <w:tcW w:w="1302" w:type="dxa"/>
          </w:tcPr>
          <w:p>
            <w:pPr>
              <w:pStyle w:val="TableParagraph"/>
              <w:spacing w:line="240" w:lineRule="auto" w:before="7"/>
              <w:ind w:right="105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Empresa</w:t>
            </w:r>
          </w:p>
        </w:tc>
        <w:tc>
          <w:tcPr>
            <w:tcW w:w="5829" w:type="dxa"/>
          </w:tcPr>
          <w:p>
            <w:pPr>
              <w:pStyle w:val="TableParagraph"/>
              <w:spacing w:line="201" w:lineRule="exact"/>
              <w:ind w:left="103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8K</w:t>
            </w:r>
            <w:r>
              <w:rPr>
                <w:rFonts w:ascii="Arial"/>
                <w:spacing w:val="52"/>
                <w:sz w:val="18"/>
              </w:rPr>
              <w:t> </w:t>
            </w:r>
            <w:r>
              <w:rPr>
                <w:rFonts w:ascii="Arial"/>
                <w:sz w:val="18"/>
              </w:rPr>
              <w:t>ESCUELA</w:t>
            </w:r>
            <w:r>
              <w:rPr>
                <w:rFonts w:ascii="Arial"/>
                <w:spacing w:val="-8"/>
                <w:sz w:val="18"/>
              </w:rPr>
              <w:t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8"/>
                <w:sz w:val="18"/>
              </w:rPr>
              <w:t> </w:t>
            </w:r>
            <w:r>
              <w:rPr>
                <w:rFonts w:ascii="Arial"/>
                <w:sz w:val="18"/>
              </w:rPr>
              <w:t>ACTORES</w:t>
            </w:r>
            <w:r>
              <w:rPr>
                <w:rFonts w:ascii="Arial"/>
                <w:spacing w:val="-7"/>
                <w:sz w:val="18"/>
              </w:rPr>
              <w:t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8"/>
                <w:sz w:val="18"/>
              </w:rPr>
              <w:t> </w:t>
            </w:r>
            <w:r>
              <w:rPr>
                <w:rFonts w:ascii="Arial"/>
                <w:sz w:val="18"/>
              </w:rPr>
              <w:t>CANARIAS,</w:t>
            </w:r>
            <w:r>
              <w:rPr>
                <w:rFonts w:ascii="Arial"/>
                <w:spacing w:val="-8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S.COOP.</w:t>
            </w:r>
          </w:p>
        </w:tc>
        <w:tc>
          <w:tcPr>
            <w:tcW w:w="3079" w:type="dxa"/>
          </w:tcPr>
          <w:p>
            <w:pPr>
              <w:pStyle w:val="TableParagraph"/>
              <w:spacing w:line="240" w:lineRule="auto" w:before="7"/>
              <w:ind w:left="1361"/>
              <w:jc w:val="left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Fecha</w:t>
            </w:r>
            <w:r>
              <w:rPr>
                <w:rFonts w:ascii="Arial"/>
                <w:b/>
                <w:spacing w:val="-1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17-04-</w:t>
            </w:r>
            <w:r>
              <w:rPr>
                <w:rFonts w:ascii="Arial"/>
                <w:b/>
                <w:spacing w:val="-7"/>
                <w:sz w:val="19"/>
              </w:rPr>
              <w:t>21</w:t>
            </w:r>
          </w:p>
        </w:tc>
      </w:tr>
      <w:tr>
        <w:trPr>
          <w:trHeight w:val="457" w:hRule="atLeast"/>
        </w:trPr>
        <w:tc>
          <w:tcPr>
            <w:tcW w:w="1302" w:type="dxa"/>
          </w:tcPr>
          <w:p>
            <w:pPr>
              <w:pStyle w:val="TableParagraph"/>
              <w:spacing w:line="240" w:lineRule="auto" w:before="38"/>
              <w:ind w:right="101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Condiciones</w:t>
            </w:r>
          </w:p>
        </w:tc>
        <w:tc>
          <w:tcPr>
            <w:tcW w:w="5829" w:type="dxa"/>
          </w:tcPr>
          <w:p>
            <w:pPr>
              <w:pStyle w:val="TableParagraph"/>
              <w:spacing w:line="240" w:lineRule="auto" w:before="22"/>
              <w:ind w:left="103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PERIODO</w:t>
            </w:r>
            <w:r>
              <w:rPr>
                <w:rFonts w:ascii="Arial"/>
                <w:spacing w:val="-7"/>
                <w:sz w:val="18"/>
              </w:rPr>
              <w:t> </w:t>
            </w:r>
            <w:r>
              <w:rPr>
                <w:rFonts w:ascii="Arial"/>
                <w:sz w:val="18"/>
              </w:rPr>
              <w:t>: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01-01-20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/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31-12-20;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PERIODO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N-1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: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01-01-19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/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31-12-</w:t>
            </w:r>
            <w:r>
              <w:rPr>
                <w:rFonts w:ascii="Arial"/>
                <w:spacing w:val="-5"/>
                <w:sz w:val="18"/>
              </w:rPr>
              <w:t>19</w:t>
            </w:r>
          </w:p>
          <w:p>
            <w:pPr>
              <w:pStyle w:val="TableParagraph"/>
              <w:spacing w:line="187" w:lineRule="exact" w:before="21"/>
              <w:ind w:left="103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ACTORES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CANARIAS,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S.COOP.</w:t>
            </w:r>
            <w:r>
              <w:rPr>
                <w:rFonts w:ascii="Arial"/>
                <w:spacing w:val="64"/>
                <w:w w:val="150"/>
                <w:sz w:val="18"/>
              </w:rPr>
              <w:t> </w:t>
            </w:r>
            <w:r>
              <w:rPr>
                <w:rFonts w:ascii="Arial"/>
                <w:sz w:val="18"/>
              </w:rPr>
              <w:t>(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Importes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Euros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pacing w:val="-10"/>
                <w:sz w:val="18"/>
              </w:rPr>
              <w:t>)</w:t>
            </w:r>
          </w:p>
        </w:tc>
        <w:tc>
          <w:tcPr>
            <w:tcW w:w="3079" w:type="dxa"/>
          </w:tcPr>
          <w:p>
            <w:pPr>
              <w:pStyle w:val="TableParagraph"/>
              <w:spacing w:line="240" w:lineRule="auto" w:before="22"/>
              <w:ind w:left="149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EMPRESA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N-1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: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8H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-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ESCUELA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pacing w:val="-5"/>
                <w:sz w:val="18"/>
              </w:rPr>
              <w:t>DE</w:t>
            </w:r>
          </w:p>
        </w:tc>
      </w:tr>
    </w:tbl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101"/>
        <w:rPr>
          <w:rFonts w:ascii="Times New Roman"/>
          <w:b w:val="0"/>
        </w:rPr>
      </w:pPr>
    </w:p>
    <w:p>
      <w:pPr>
        <w:pStyle w:val="BodyText"/>
        <w:tabs>
          <w:tab w:pos="6748" w:val="left" w:leader="none"/>
          <w:tab w:pos="8335" w:val="left" w:leader="none"/>
        </w:tabs>
        <w:ind w:left="7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45719</wp:posOffset>
                </wp:positionH>
                <wp:positionV relativeFrom="paragraph">
                  <wp:posOffset>118484</wp:posOffset>
                </wp:positionV>
                <wp:extent cx="416179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161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1790" h="0">
                              <a:moveTo>
                                <a:pt x="0" y="0"/>
                              </a:moveTo>
                              <a:lnTo>
                                <a:pt x="4161358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.6pt;margin-top:9.329481pt;width:327.7pt;height:.1pt;mso-position-horizontal-relative:page;mso-position-vertical-relative:paragraph;z-index:-15728640;mso-wrap-distance-left:0;mso-wrap-distance-right:0" id="docshape6" coordorigin="72,187" coordsize="6554,0" path="m72,187l6625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4251959</wp:posOffset>
                </wp:positionH>
                <wp:positionV relativeFrom="paragraph">
                  <wp:posOffset>118484</wp:posOffset>
                </wp:positionV>
                <wp:extent cx="640715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40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715" h="0">
                              <a:moveTo>
                                <a:pt x="0" y="0"/>
                              </a:moveTo>
                              <a:lnTo>
                                <a:pt x="640209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4.799988pt;margin-top:9.329481pt;width:50.45pt;height:.1pt;mso-position-horizontal-relative:page;mso-position-vertical-relative:paragraph;z-index:-15728128;mso-wrap-distance-left:0;mso-wrap-distance-right:0" id="docshape7" coordorigin="6696,187" coordsize="1009,0" path="m6696,187l7704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4937759</wp:posOffset>
                </wp:positionH>
                <wp:positionV relativeFrom="paragraph">
                  <wp:posOffset>118484</wp:posOffset>
                </wp:positionV>
                <wp:extent cx="960755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96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0755" h="0">
                              <a:moveTo>
                                <a:pt x="0" y="0"/>
                              </a:moveTo>
                              <a:lnTo>
                                <a:pt x="960313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799988pt;margin-top:9.329481pt;width:75.650pt;height:.1pt;mso-position-horizontal-relative:page;mso-position-vertical-relative:paragraph;z-index:-15727616;mso-wrap-distance-left:0;mso-wrap-distance-right:0" id="docshape8" coordorigin="7776,187" coordsize="1513,0" path="m7776,187l9288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539495</wp:posOffset>
                </wp:positionH>
                <wp:positionV relativeFrom="paragraph">
                  <wp:posOffset>-243960</wp:posOffset>
                </wp:positionV>
                <wp:extent cx="6661784" cy="127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6617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784" h="0">
                              <a:moveTo>
                                <a:pt x="0" y="0"/>
                              </a:moveTo>
                              <a:lnTo>
                                <a:pt x="6661403" y="0"/>
                              </a:lnTo>
                            </a:path>
                          </a:pathLst>
                        </a:custGeom>
                        <a:ln w="1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42.48pt,-19.209518pt" to="566.999988pt,-19.209518pt" stroked="true" strokeweight=".12pt" strokecolor="#000000">
                <v:stroke dashstyle="solid"/>
                <w10:wrap type="none"/>
              </v:line>
            </w:pict>
          </mc:Fallback>
        </mc:AlternateContent>
      </w:r>
      <w:r>
        <w:rPr/>
        <w:t>D E B </w:t>
      </w:r>
      <w:r>
        <w:rPr>
          <w:spacing w:val="-10"/>
        </w:rPr>
        <w:t>E</w:t>
      </w:r>
      <w:r>
        <w:rPr/>
        <w:tab/>
        <w:t>EJERCICIO </w:t>
      </w:r>
      <w:r>
        <w:rPr>
          <w:spacing w:val="-5"/>
        </w:rPr>
        <w:t>20</w:t>
      </w:r>
      <w:r>
        <w:rPr/>
        <w:tab/>
        <w:t>EJERCICIO </w:t>
      </w:r>
      <w:r>
        <w:rPr>
          <w:spacing w:val="-5"/>
        </w:rPr>
        <w:t>19</w:t>
      </w:r>
    </w:p>
    <w:p>
      <w:pPr>
        <w:pStyle w:val="BodyText"/>
        <w:spacing w:before="8"/>
        <w:rPr>
          <w:sz w:val="15"/>
        </w:rPr>
      </w:pPr>
    </w:p>
    <w:tbl>
      <w:tblPr>
        <w:tblW w:w="0" w:type="auto"/>
        <w:jc w:val="left"/>
        <w:tblInd w:w="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2"/>
        <w:gridCol w:w="1765"/>
        <w:gridCol w:w="1257"/>
      </w:tblGrid>
      <w:tr>
        <w:trPr>
          <w:trHeight w:val="130" w:hRule="atLeast"/>
        </w:trPr>
        <w:tc>
          <w:tcPr>
            <w:tcW w:w="6262" w:type="dxa"/>
          </w:tcPr>
          <w:p>
            <w:pPr>
              <w:pStyle w:val="TableParagraph"/>
              <w:spacing w:line="110" w:lineRule="exact"/>
              <w:ind w:left="32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GASTOS</w:t>
            </w:r>
          </w:p>
        </w:tc>
        <w:tc>
          <w:tcPr>
            <w:tcW w:w="1765" w:type="dxa"/>
          </w:tcPr>
          <w:p>
            <w:pPr>
              <w:pStyle w:val="TableParagraph"/>
              <w:spacing w:line="110" w:lineRule="exact"/>
              <w:ind w:right="35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1.056.701,70</w:t>
            </w:r>
          </w:p>
        </w:tc>
        <w:tc>
          <w:tcPr>
            <w:tcW w:w="1257" w:type="dxa"/>
          </w:tcPr>
          <w:p>
            <w:pPr>
              <w:pStyle w:val="TableParagraph"/>
              <w:spacing w:line="110" w:lineRule="exact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1.101.479,67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24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A) OPERACIONES </w:t>
            </w:r>
            <w:r>
              <w:rPr>
                <w:b/>
                <w:spacing w:val="-2"/>
                <w:sz w:val="12"/>
              </w:rPr>
              <w:t>CONTINUADAS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1.056.701,70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1.101.479,67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46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3. Gastos de </w:t>
            </w:r>
            <w:r>
              <w:rPr>
                <w:b/>
                <w:spacing w:val="-2"/>
                <w:sz w:val="12"/>
              </w:rPr>
              <w:t>personal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910.773,28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924.970,63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68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a) Sueldos, salarios y </w:t>
            </w:r>
            <w:r>
              <w:rPr>
                <w:b/>
                <w:spacing w:val="-2"/>
                <w:sz w:val="12"/>
              </w:rPr>
              <w:t>asimilados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711.697,33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714.488,46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896"/>
              <w:jc w:val="left"/>
              <w:rPr>
                <w:sz w:val="12"/>
              </w:rPr>
            </w:pPr>
            <w:r>
              <w:rPr>
                <w:sz w:val="12"/>
              </w:rPr>
              <w:t>640. Sueldos y </w:t>
            </w:r>
            <w:r>
              <w:rPr>
                <w:spacing w:val="-2"/>
                <w:sz w:val="12"/>
              </w:rPr>
              <w:t>salarios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sz w:val="12"/>
              </w:rPr>
            </w:pPr>
            <w:r>
              <w:rPr>
                <w:spacing w:val="-2"/>
                <w:sz w:val="12"/>
              </w:rPr>
              <w:t>711.697,33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sz w:val="12"/>
              </w:rPr>
            </w:pPr>
            <w:r>
              <w:rPr>
                <w:spacing w:val="-2"/>
                <w:sz w:val="12"/>
              </w:rPr>
              <w:t>714.261,74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896"/>
              <w:jc w:val="left"/>
              <w:rPr>
                <w:sz w:val="12"/>
              </w:rPr>
            </w:pPr>
            <w:r>
              <w:rPr>
                <w:sz w:val="12"/>
              </w:rPr>
              <w:t>641. </w:t>
            </w:r>
            <w:r>
              <w:rPr>
                <w:spacing w:val="-2"/>
                <w:sz w:val="12"/>
              </w:rPr>
              <w:t>Indemnizaciones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sz w:val="12"/>
              </w:rPr>
            </w:pPr>
            <w:r>
              <w:rPr>
                <w:spacing w:val="-2"/>
                <w:sz w:val="12"/>
              </w:rPr>
              <w:t>226,72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68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b) Cargas </w:t>
            </w:r>
            <w:r>
              <w:rPr>
                <w:b/>
                <w:spacing w:val="-2"/>
                <w:sz w:val="12"/>
              </w:rPr>
              <w:t>sociales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199.075,95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210.482,17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896"/>
              <w:jc w:val="left"/>
              <w:rPr>
                <w:sz w:val="12"/>
              </w:rPr>
            </w:pPr>
            <w:r>
              <w:rPr>
                <w:sz w:val="12"/>
              </w:rPr>
              <w:t>642. Seguridad social a cargo de la </w:t>
            </w:r>
            <w:r>
              <w:rPr>
                <w:spacing w:val="-2"/>
                <w:sz w:val="12"/>
              </w:rPr>
              <w:t>empresa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sz w:val="12"/>
              </w:rPr>
            </w:pPr>
            <w:r>
              <w:rPr>
                <w:spacing w:val="-2"/>
                <w:sz w:val="12"/>
              </w:rPr>
              <w:t>199.075,95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sz w:val="12"/>
              </w:rPr>
            </w:pPr>
            <w:r>
              <w:rPr>
                <w:spacing w:val="-2"/>
                <w:sz w:val="12"/>
              </w:rPr>
              <w:t>210.482,17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46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4. Otros gastos de </w:t>
            </w:r>
            <w:r>
              <w:rPr>
                <w:b/>
                <w:spacing w:val="-2"/>
                <w:sz w:val="12"/>
              </w:rPr>
              <w:t>explotación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139.140,55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167.135,71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68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a) Servicios </w:t>
            </w:r>
            <w:r>
              <w:rPr>
                <w:b/>
                <w:spacing w:val="-2"/>
                <w:sz w:val="12"/>
              </w:rPr>
              <w:t>exteriores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138.782,11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167.133,35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896"/>
              <w:jc w:val="left"/>
              <w:rPr>
                <w:sz w:val="12"/>
              </w:rPr>
            </w:pPr>
            <w:r>
              <w:rPr>
                <w:sz w:val="12"/>
              </w:rPr>
              <w:t>621. Arrendamientos y </w:t>
            </w:r>
            <w:r>
              <w:rPr>
                <w:spacing w:val="-2"/>
                <w:sz w:val="12"/>
              </w:rPr>
              <w:t>cánones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sz w:val="12"/>
              </w:rPr>
            </w:pPr>
            <w:r>
              <w:rPr>
                <w:spacing w:val="-2"/>
                <w:sz w:val="12"/>
              </w:rPr>
              <w:t>1.306,83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sz w:val="12"/>
              </w:rPr>
            </w:pPr>
            <w:r>
              <w:rPr>
                <w:spacing w:val="-2"/>
                <w:sz w:val="12"/>
              </w:rPr>
              <w:t>1.299,86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896"/>
              <w:jc w:val="left"/>
              <w:rPr>
                <w:sz w:val="12"/>
              </w:rPr>
            </w:pPr>
            <w:r>
              <w:rPr>
                <w:sz w:val="12"/>
              </w:rPr>
              <w:t>622. Reparaciones y </w:t>
            </w:r>
            <w:r>
              <w:rPr>
                <w:spacing w:val="-2"/>
                <w:sz w:val="12"/>
              </w:rPr>
              <w:t>conservación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sz w:val="12"/>
              </w:rPr>
            </w:pPr>
            <w:r>
              <w:rPr>
                <w:spacing w:val="-2"/>
                <w:sz w:val="12"/>
              </w:rPr>
              <w:t>10.582,74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sz w:val="12"/>
              </w:rPr>
            </w:pPr>
            <w:r>
              <w:rPr>
                <w:spacing w:val="-2"/>
                <w:sz w:val="12"/>
              </w:rPr>
              <w:t>11.480,59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896"/>
              <w:jc w:val="left"/>
              <w:rPr>
                <w:sz w:val="12"/>
              </w:rPr>
            </w:pPr>
            <w:r>
              <w:rPr>
                <w:sz w:val="12"/>
              </w:rPr>
              <w:t>623. Servicios de profesionales </w:t>
            </w:r>
            <w:r>
              <w:rPr>
                <w:spacing w:val="-2"/>
                <w:sz w:val="12"/>
              </w:rPr>
              <w:t>independientes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sz w:val="12"/>
              </w:rPr>
            </w:pPr>
            <w:r>
              <w:rPr>
                <w:spacing w:val="-2"/>
                <w:sz w:val="12"/>
              </w:rPr>
              <w:t>56.306,22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sz w:val="12"/>
              </w:rPr>
            </w:pPr>
            <w:r>
              <w:rPr>
                <w:spacing w:val="-2"/>
                <w:sz w:val="12"/>
              </w:rPr>
              <w:t>61.634,65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896"/>
              <w:jc w:val="left"/>
              <w:rPr>
                <w:sz w:val="12"/>
              </w:rPr>
            </w:pPr>
            <w:r>
              <w:rPr>
                <w:sz w:val="12"/>
              </w:rPr>
              <w:t>625. Primas de </w:t>
            </w:r>
            <w:r>
              <w:rPr>
                <w:spacing w:val="-2"/>
                <w:sz w:val="12"/>
              </w:rPr>
              <w:t>seguros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sz w:val="12"/>
              </w:rPr>
            </w:pPr>
            <w:r>
              <w:rPr>
                <w:spacing w:val="-2"/>
                <w:sz w:val="12"/>
              </w:rPr>
              <w:t>5.127,14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sz w:val="12"/>
              </w:rPr>
            </w:pPr>
            <w:r>
              <w:rPr>
                <w:spacing w:val="-2"/>
                <w:sz w:val="12"/>
              </w:rPr>
              <w:t>4.393,46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896"/>
              <w:jc w:val="left"/>
              <w:rPr>
                <w:sz w:val="12"/>
              </w:rPr>
            </w:pPr>
            <w:r>
              <w:rPr>
                <w:sz w:val="12"/>
              </w:rPr>
              <w:t>626. Servicios bancarios y </w:t>
            </w:r>
            <w:r>
              <w:rPr>
                <w:spacing w:val="-2"/>
                <w:sz w:val="12"/>
              </w:rPr>
              <w:t>similares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sz w:val="12"/>
              </w:rPr>
            </w:pPr>
            <w:r>
              <w:rPr>
                <w:spacing w:val="-2"/>
                <w:sz w:val="12"/>
              </w:rPr>
              <w:t>4.385,12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sz w:val="12"/>
              </w:rPr>
            </w:pPr>
            <w:r>
              <w:rPr>
                <w:spacing w:val="-2"/>
                <w:sz w:val="12"/>
              </w:rPr>
              <w:t>4.213,61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896"/>
              <w:jc w:val="left"/>
              <w:rPr>
                <w:sz w:val="12"/>
              </w:rPr>
            </w:pPr>
            <w:r>
              <w:rPr>
                <w:sz w:val="12"/>
              </w:rPr>
              <w:t>627. Publicidad, propaganda y relaciones </w:t>
            </w:r>
            <w:r>
              <w:rPr>
                <w:spacing w:val="-2"/>
                <w:sz w:val="12"/>
              </w:rPr>
              <w:t>públicas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sz w:val="12"/>
              </w:rPr>
            </w:pPr>
            <w:r>
              <w:rPr>
                <w:spacing w:val="-2"/>
                <w:sz w:val="12"/>
              </w:rPr>
              <w:t>9.083,24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sz w:val="12"/>
              </w:rPr>
            </w:pPr>
            <w:r>
              <w:rPr>
                <w:spacing w:val="-2"/>
                <w:sz w:val="12"/>
              </w:rPr>
              <w:t>9.173,01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896"/>
              <w:jc w:val="left"/>
              <w:rPr>
                <w:sz w:val="12"/>
              </w:rPr>
            </w:pPr>
            <w:r>
              <w:rPr>
                <w:sz w:val="12"/>
              </w:rPr>
              <w:t>628. </w:t>
            </w:r>
            <w:r>
              <w:rPr>
                <w:spacing w:val="-2"/>
                <w:sz w:val="12"/>
              </w:rPr>
              <w:t>Suministros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sz w:val="12"/>
              </w:rPr>
            </w:pPr>
            <w:r>
              <w:rPr>
                <w:spacing w:val="-2"/>
                <w:sz w:val="12"/>
              </w:rPr>
              <w:t>18.776,12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sz w:val="12"/>
              </w:rPr>
            </w:pPr>
            <w:r>
              <w:rPr>
                <w:spacing w:val="-2"/>
                <w:sz w:val="12"/>
              </w:rPr>
              <w:t>21.124,43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896"/>
              <w:jc w:val="left"/>
              <w:rPr>
                <w:sz w:val="12"/>
              </w:rPr>
            </w:pPr>
            <w:r>
              <w:rPr>
                <w:sz w:val="12"/>
              </w:rPr>
              <w:t>629. Otros </w:t>
            </w:r>
            <w:r>
              <w:rPr>
                <w:spacing w:val="-2"/>
                <w:sz w:val="12"/>
              </w:rPr>
              <w:t>servicios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sz w:val="12"/>
              </w:rPr>
            </w:pPr>
            <w:r>
              <w:rPr>
                <w:spacing w:val="-2"/>
                <w:sz w:val="12"/>
              </w:rPr>
              <w:t>33.214,70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sz w:val="12"/>
              </w:rPr>
            </w:pPr>
            <w:r>
              <w:rPr>
                <w:spacing w:val="-2"/>
                <w:sz w:val="12"/>
              </w:rPr>
              <w:t>53.813,74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68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b) </w:t>
            </w:r>
            <w:r>
              <w:rPr>
                <w:b/>
                <w:spacing w:val="-2"/>
                <w:sz w:val="12"/>
              </w:rPr>
              <w:t>Tributos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358,44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2,36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896"/>
              <w:jc w:val="left"/>
              <w:rPr>
                <w:sz w:val="12"/>
              </w:rPr>
            </w:pPr>
            <w:r>
              <w:rPr>
                <w:sz w:val="12"/>
              </w:rPr>
              <w:t>631. Otros </w:t>
            </w:r>
            <w:r>
              <w:rPr>
                <w:spacing w:val="-2"/>
                <w:sz w:val="12"/>
              </w:rPr>
              <w:t>tributos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sz w:val="12"/>
              </w:rPr>
            </w:pPr>
            <w:r>
              <w:rPr>
                <w:spacing w:val="-2"/>
                <w:sz w:val="12"/>
              </w:rPr>
              <w:t>358,44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sz w:val="12"/>
              </w:rPr>
            </w:pPr>
            <w:r>
              <w:rPr>
                <w:spacing w:val="-4"/>
                <w:sz w:val="12"/>
              </w:rPr>
              <w:t>2,36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46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5. Amortización del </w:t>
            </w:r>
            <w:r>
              <w:rPr>
                <w:b/>
                <w:spacing w:val="-2"/>
                <w:sz w:val="12"/>
              </w:rPr>
              <w:t>inmovilizado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3.763,42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5.080,18</w:t>
            </w:r>
          </w:p>
        </w:tc>
      </w:tr>
      <w:tr>
        <w:trPr>
          <w:trHeight w:val="187" w:hRule="atLeast"/>
        </w:trPr>
        <w:tc>
          <w:tcPr>
            <w:tcW w:w="6262" w:type="dxa"/>
          </w:tcPr>
          <w:p>
            <w:pPr>
              <w:pStyle w:val="TableParagraph"/>
              <w:spacing w:line="130" w:lineRule="exact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681. Amortización del inmovilizado </w:t>
            </w:r>
            <w:r>
              <w:rPr>
                <w:spacing w:val="-2"/>
                <w:sz w:val="12"/>
              </w:rPr>
              <w:t>material</w:t>
            </w:r>
          </w:p>
        </w:tc>
        <w:tc>
          <w:tcPr>
            <w:tcW w:w="1765" w:type="dxa"/>
          </w:tcPr>
          <w:p>
            <w:pPr>
              <w:pStyle w:val="TableParagraph"/>
              <w:spacing w:line="130" w:lineRule="exact"/>
              <w:ind w:right="359"/>
              <w:rPr>
                <w:sz w:val="12"/>
              </w:rPr>
            </w:pPr>
            <w:r>
              <w:rPr>
                <w:spacing w:val="-2"/>
                <w:sz w:val="12"/>
              </w:rPr>
              <w:t>3.763,42</w:t>
            </w:r>
          </w:p>
        </w:tc>
        <w:tc>
          <w:tcPr>
            <w:tcW w:w="1257" w:type="dxa"/>
          </w:tcPr>
          <w:p>
            <w:pPr>
              <w:pStyle w:val="TableParagraph"/>
              <w:spacing w:line="130" w:lineRule="exact"/>
              <w:ind w:right="31"/>
              <w:rPr>
                <w:sz w:val="12"/>
              </w:rPr>
            </w:pPr>
            <w:r>
              <w:rPr>
                <w:spacing w:val="-2"/>
                <w:sz w:val="12"/>
              </w:rPr>
              <w:t>5.080,18</w:t>
            </w:r>
          </w:p>
        </w:tc>
      </w:tr>
      <w:tr>
        <w:trPr>
          <w:trHeight w:val="187" w:hRule="atLeast"/>
        </w:trPr>
        <w:tc>
          <w:tcPr>
            <w:tcW w:w="6262" w:type="dxa"/>
          </w:tcPr>
          <w:p>
            <w:pPr>
              <w:pStyle w:val="TableParagraph"/>
              <w:spacing w:line="110" w:lineRule="exact" w:before="57"/>
              <w:ind w:left="3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A.1) BENEFICIO DE </w:t>
            </w:r>
            <w:r>
              <w:rPr>
                <w:b/>
                <w:spacing w:val="-2"/>
                <w:sz w:val="12"/>
              </w:rPr>
              <w:t>EXPLOTACIÓN</w:t>
            </w:r>
          </w:p>
        </w:tc>
        <w:tc>
          <w:tcPr>
            <w:tcW w:w="1765" w:type="dxa"/>
          </w:tcPr>
          <w:p>
            <w:pPr>
              <w:pStyle w:val="TableParagraph"/>
              <w:spacing w:line="110" w:lineRule="exact" w:before="57"/>
              <w:ind w:right="35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47.129,29</w:t>
            </w:r>
          </w:p>
        </w:tc>
        <w:tc>
          <w:tcPr>
            <w:tcW w:w="1257" w:type="dxa"/>
          </w:tcPr>
          <w:p>
            <w:pPr>
              <w:pStyle w:val="TableParagraph"/>
              <w:spacing w:line="110" w:lineRule="exact" w:before="57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79.235,78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24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8. Gastos </w:t>
            </w:r>
            <w:r>
              <w:rPr>
                <w:b/>
                <w:spacing w:val="-2"/>
                <w:sz w:val="12"/>
              </w:rPr>
              <w:t>financieros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3.024,45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951,59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46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b) Por deudas con </w:t>
            </w:r>
            <w:r>
              <w:rPr>
                <w:b/>
                <w:spacing w:val="-2"/>
                <w:sz w:val="12"/>
              </w:rPr>
              <w:t>terceros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3.024,45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951,59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6623. Intereses de deudas con entidades de </w:t>
            </w:r>
            <w:r>
              <w:rPr>
                <w:spacing w:val="-2"/>
                <w:sz w:val="12"/>
              </w:rPr>
              <w:t>crédito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sz w:val="12"/>
              </w:rPr>
            </w:pPr>
            <w:r>
              <w:rPr>
                <w:spacing w:val="-2"/>
                <w:sz w:val="12"/>
              </w:rPr>
              <w:t>2.924,73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sz w:val="12"/>
              </w:rPr>
            </w:pPr>
            <w:r>
              <w:rPr>
                <w:spacing w:val="-2"/>
                <w:sz w:val="12"/>
              </w:rPr>
              <w:t>951,59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669. Otros gastos </w:t>
            </w:r>
            <w:r>
              <w:rPr>
                <w:spacing w:val="-2"/>
                <w:sz w:val="12"/>
              </w:rPr>
              <w:t>financieros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sz w:val="12"/>
              </w:rPr>
            </w:pPr>
            <w:r>
              <w:rPr>
                <w:spacing w:val="-2"/>
                <w:sz w:val="12"/>
              </w:rPr>
              <w:t>99,72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24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11. Deterioro y resultado por enajenaciones de instrumentos </w:t>
            </w:r>
            <w:r>
              <w:rPr>
                <w:b/>
                <w:spacing w:val="-2"/>
                <w:sz w:val="12"/>
              </w:rPr>
              <w:t>financieros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3.341,56</w:t>
            </w:r>
          </w:p>
        </w:tc>
      </w:tr>
      <w:tr>
        <w:trPr>
          <w:trHeight w:val="124" w:hRule="atLeast"/>
        </w:trPr>
        <w:tc>
          <w:tcPr>
            <w:tcW w:w="6262" w:type="dxa"/>
          </w:tcPr>
          <w:p>
            <w:pPr>
              <w:pStyle w:val="TableParagraph"/>
              <w:ind w:left="46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a) Deterioros y </w:t>
            </w:r>
            <w:r>
              <w:rPr>
                <w:b/>
                <w:spacing w:val="-2"/>
                <w:sz w:val="12"/>
              </w:rPr>
              <w:t>pérdidas</w:t>
            </w:r>
          </w:p>
        </w:tc>
        <w:tc>
          <w:tcPr>
            <w:tcW w:w="1765" w:type="dxa"/>
          </w:tcPr>
          <w:p>
            <w:pPr>
              <w:pStyle w:val="TableParagraph"/>
              <w:ind w:right="359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57" w:type="dxa"/>
          </w:tcPr>
          <w:p>
            <w:pPr>
              <w:pStyle w:val="TableParagraph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3.341,56</w:t>
            </w:r>
          </w:p>
        </w:tc>
      </w:tr>
      <w:tr>
        <w:trPr>
          <w:trHeight w:val="187" w:hRule="atLeast"/>
        </w:trPr>
        <w:tc>
          <w:tcPr>
            <w:tcW w:w="6262" w:type="dxa"/>
          </w:tcPr>
          <w:p>
            <w:pPr>
              <w:pStyle w:val="TableParagraph"/>
              <w:spacing w:line="130" w:lineRule="exact"/>
              <w:ind w:left="680"/>
              <w:jc w:val="left"/>
              <w:rPr>
                <w:sz w:val="12"/>
              </w:rPr>
            </w:pPr>
            <w:r>
              <w:rPr>
                <w:sz w:val="12"/>
              </w:rPr>
              <w:t>6993. Pérdidas por deterioro de créditos a corto plazo, otras </w:t>
            </w:r>
            <w:r>
              <w:rPr>
                <w:spacing w:val="-2"/>
                <w:sz w:val="12"/>
              </w:rPr>
              <w:t>empresas</w:t>
            </w:r>
          </w:p>
        </w:tc>
        <w:tc>
          <w:tcPr>
            <w:tcW w:w="1765" w:type="dxa"/>
          </w:tcPr>
          <w:p>
            <w:pPr>
              <w:pStyle w:val="TableParagraph"/>
              <w:spacing w:line="130" w:lineRule="exact"/>
              <w:ind w:right="35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257" w:type="dxa"/>
          </w:tcPr>
          <w:p>
            <w:pPr>
              <w:pStyle w:val="TableParagraph"/>
              <w:spacing w:line="130" w:lineRule="exact"/>
              <w:ind w:right="31"/>
              <w:rPr>
                <w:sz w:val="12"/>
              </w:rPr>
            </w:pPr>
            <w:r>
              <w:rPr>
                <w:spacing w:val="-2"/>
                <w:sz w:val="12"/>
              </w:rPr>
              <w:t>3.341,56</w:t>
            </w:r>
          </w:p>
        </w:tc>
      </w:tr>
      <w:tr>
        <w:trPr>
          <w:trHeight w:val="249" w:hRule="atLeast"/>
        </w:trPr>
        <w:tc>
          <w:tcPr>
            <w:tcW w:w="6262" w:type="dxa"/>
          </w:tcPr>
          <w:p>
            <w:pPr>
              <w:pStyle w:val="TableParagraph"/>
              <w:spacing w:line="240" w:lineRule="auto" w:before="57"/>
              <w:ind w:left="3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A.3) RESULTADO ANTES DE IMPUESTOS </w:t>
            </w:r>
            <w:r>
              <w:rPr>
                <w:b/>
                <w:spacing w:val="-2"/>
                <w:sz w:val="12"/>
              </w:rPr>
              <w:t>(BENEFICIOS)</w:t>
            </w:r>
          </w:p>
        </w:tc>
        <w:tc>
          <w:tcPr>
            <w:tcW w:w="1765" w:type="dxa"/>
          </w:tcPr>
          <w:p>
            <w:pPr>
              <w:pStyle w:val="TableParagraph"/>
              <w:spacing w:line="240" w:lineRule="auto" w:before="57"/>
              <w:ind w:right="35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44.133,64</w:t>
            </w:r>
          </w:p>
        </w:tc>
        <w:tc>
          <w:tcPr>
            <w:tcW w:w="1257" w:type="dxa"/>
          </w:tcPr>
          <w:p>
            <w:pPr>
              <w:pStyle w:val="TableParagraph"/>
              <w:spacing w:line="240" w:lineRule="auto" w:before="57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74.971,43</w:t>
            </w:r>
          </w:p>
        </w:tc>
      </w:tr>
      <w:tr>
        <w:trPr>
          <w:trHeight w:val="249" w:hRule="atLeast"/>
        </w:trPr>
        <w:tc>
          <w:tcPr>
            <w:tcW w:w="6262" w:type="dxa"/>
          </w:tcPr>
          <w:p>
            <w:pPr>
              <w:pStyle w:val="TableParagraph"/>
              <w:spacing w:line="240" w:lineRule="auto" w:before="57"/>
              <w:ind w:left="3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A.4) BENEFICIO DEL EJERCICIO PROCEDENTE DE OPERACIONES </w:t>
            </w:r>
            <w:r>
              <w:rPr>
                <w:b/>
                <w:spacing w:val="-2"/>
                <w:sz w:val="12"/>
              </w:rPr>
              <w:t>CONTINUADAS</w:t>
            </w:r>
          </w:p>
        </w:tc>
        <w:tc>
          <w:tcPr>
            <w:tcW w:w="1765" w:type="dxa"/>
          </w:tcPr>
          <w:p>
            <w:pPr>
              <w:pStyle w:val="TableParagraph"/>
              <w:spacing w:line="240" w:lineRule="auto" w:before="57"/>
              <w:ind w:right="35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44.133,64</w:t>
            </w:r>
          </w:p>
        </w:tc>
        <w:tc>
          <w:tcPr>
            <w:tcW w:w="1257" w:type="dxa"/>
          </w:tcPr>
          <w:p>
            <w:pPr>
              <w:pStyle w:val="TableParagraph"/>
              <w:spacing w:line="240" w:lineRule="auto" w:before="57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74.971,43</w:t>
            </w:r>
          </w:p>
        </w:tc>
      </w:tr>
      <w:tr>
        <w:trPr>
          <w:trHeight w:val="192" w:hRule="atLeast"/>
        </w:trPr>
        <w:tc>
          <w:tcPr>
            <w:tcW w:w="6262" w:type="dxa"/>
          </w:tcPr>
          <w:p>
            <w:pPr>
              <w:pStyle w:val="TableParagraph"/>
              <w:spacing w:line="116" w:lineRule="exact" w:before="57"/>
              <w:ind w:left="3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A.5) RESULTADO DEL EJERCICIO </w:t>
            </w:r>
            <w:r>
              <w:rPr>
                <w:b/>
                <w:spacing w:val="-2"/>
                <w:sz w:val="12"/>
              </w:rPr>
              <w:t>(BENEFICIOS)</w:t>
            </w:r>
          </w:p>
        </w:tc>
        <w:tc>
          <w:tcPr>
            <w:tcW w:w="1765" w:type="dxa"/>
          </w:tcPr>
          <w:p>
            <w:pPr>
              <w:pStyle w:val="TableParagraph"/>
              <w:spacing w:line="116" w:lineRule="exact" w:before="57"/>
              <w:ind w:right="35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44.133,64</w:t>
            </w:r>
          </w:p>
        </w:tc>
        <w:tc>
          <w:tcPr>
            <w:tcW w:w="1257" w:type="dxa"/>
          </w:tcPr>
          <w:p>
            <w:pPr>
              <w:pStyle w:val="TableParagraph"/>
              <w:spacing w:line="116" w:lineRule="exact" w:before="57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74.971,43</w:t>
            </w:r>
          </w:p>
        </w:tc>
      </w:tr>
    </w:tbl>
    <w:p>
      <w:pPr>
        <w:pStyle w:val="TableParagraph"/>
        <w:spacing w:after="0" w:line="116" w:lineRule="exact"/>
        <w:rPr>
          <w:b/>
          <w:sz w:val="12"/>
        </w:rPr>
        <w:sectPr>
          <w:headerReference w:type="default" r:id="rId5"/>
          <w:footerReference w:type="default" r:id="rId6"/>
          <w:type w:val="continuous"/>
          <w:pgSz w:w="11910" w:h="16840"/>
          <w:pgMar w:header="627" w:footer="761" w:top="1000" w:bottom="960" w:left="0" w:right="708"/>
          <w:pgNumType w:start="1"/>
        </w:sectPr>
      </w:pPr>
    </w:p>
    <w:tbl>
      <w:tblPr>
        <w:tblW w:w="0" w:type="auto"/>
        <w:jc w:val="left"/>
        <w:tblInd w:w="8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03"/>
        <w:gridCol w:w="5828"/>
        <w:gridCol w:w="3079"/>
      </w:tblGrid>
      <w:tr>
        <w:trPr>
          <w:trHeight w:val="255" w:hRule="atLeast"/>
        </w:trPr>
        <w:tc>
          <w:tcPr>
            <w:tcW w:w="1303" w:type="dxa"/>
          </w:tcPr>
          <w:p>
            <w:pPr>
              <w:pStyle w:val="TableParagraph"/>
              <w:spacing w:line="240" w:lineRule="auto" w:before="7"/>
              <w:ind w:right="105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Empresa</w:t>
            </w:r>
          </w:p>
        </w:tc>
        <w:tc>
          <w:tcPr>
            <w:tcW w:w="5828" w:type="dxa"/>
          </w:tcPr>
          <w:p>
            <w:pPr>
              <w:pStyle w:val="TableParagraph"/>
              <w:spacing w:line="201" w:lineRule="exact"/>
              <w:ind w:left="103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8K</w:t>
            </w:r>
            <w:r>
              <w:rPr>
                <w:rFonts w:ascii="Arial"/>
                <w:spacing w:val="52"/>
                <w:sz w:val="18"/>
              </w:rPr>
              <w:t> </w:t>
            </w:r>
            <w:r>
              <w:rPr>
                <w:rFonts w:ascii="Arial"/>
                <w:sz w:val="18"/>
              </w:rPr>
              <w:t>ESCUELA</w:t>
            </w:r>
            <w:r>
              <w:rPr>
                <w:rFonts w:ascii="Arial"/>
                <w:spacing w:val="-8"/>
                <w:sz w:val="18"/>
              </w:rPr>
              <w:t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8"/>
                <w:sz w:val="18"/>
              </w:rPr>
              <w:t> </w:t>
            </w:r>
            <w:r>
              <w:rPr>
                <w:rFonts w:ascii="Arial"/>
                <w:sz w:val="18"/>
              </w:rPr>
              <w:t>ACTORES</w:t>
            </w:r>
            <w:r>
              <w:rPr>
                <w:rFonts w:ascii="Arial"/>
                <w:spacing w:val="-7"/>
                <w:sz w:val="18"/>
              </w:rPr>
              <w:t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8"/>
                <w:sz w:val="18"/>
              </w:rPr>
              <w:t> </w:t>
            </w:r>
            <w:r>
              <w:rPr>
                <w:rFonts w:ascii="Arial"/>
                <w:sz w:val="18"/>
              </w:rPr>
              <w:t>CANARIAS,</w:t>
            </w:r>
            <w:r>
              <w:rPr>
                <w:rFonts w:ascii="Arial"/>
                <w:spacing w:val="-8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S.COOP.</w:t>
            </w:r>
          </w:p>
        </w:tc>
        <w:tc>
          <w:tcPr>
            <w:tcW w:w="3079" w:type="dxa"/>
          </w:tcPr>
          <w:p>
            <w:pPr>
              <w:pStyle w:val="TableParagraph"/>
              <w:spacing w:line="240" w:lineRule="auto" w:before="7"/>
              <w:ind w:left="1362"/>
              <w:jc w:val="left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Fecha</w:t>
            </w:r>
            <w:r>
              <w:rPr>
                <w:rFonts w:ascii="Arial"/>
                <w:b/>
                <w:spacing w:val="-1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17-04-</w:t>
            </w:r>
            <w:r>
              <w:rPr>
                <w:rFonts w:ascii="Arial"/>
                <w:b/>
                <w:spacing w:val="-7"/>
                <w:sz w:val="19"/>
              </w:rPr>
              <w:t>21</w:t>
            </w:r>
          </w:p>
        </w:tc>
      </w:tr>
      <w:tr>
        <w:trPr>
          <w:trHeight w:val="457" w:hRule="atLeast"/>
        </w:trPr>
        <w:tc>
          <w:tcPr>
            <w:tcW w:w="1303" w:type="dxa"/>
          </w:tcPr>
          <w:p>
            <w:pPr>
              <w:pStyle w:val="TableParagraph"/>
              <w:spacing w:line="240" w:lineRule="auto" w:before="38"/>
              <w:ind w:right="100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Condiciones</w:t>
            </w:r>
          </w:p>
        </w:tc>
        <w:tc>
          <w:tcPr>
            <w:tcW w:w="5828" w:type="dxa"/>
          </w:tcPr>
          <w:p>
            <w:pPr>
              <w:pStyle w:val="TableParagraph"/>
              <w:spacing w:line="240" w:lineRule="auto" w:before="22"/>
              <w:ind w:left="103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PERIODO</w:t>
            </w:r>
            <w:r>
              <w:rPr>
                <w:rFonts w:ascii="Arial"/>
                <w:spacing w:val="-7"/>
                <w:sz w:val="18"/>
              </w:rPr>
              <w:t> </w:t>
            </w:r>
            <w:r>
              <w:rPr>
                <w:rFonts w:ascii="Arial"/>
                <w:sz w:val="18"/>
              </w:rPr>
              <w:t>: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01-01-20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/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31-12-20;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PERIODO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N-1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: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01-01-19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/</w:t>
            </w:r>
            <w:r>
              <w:rPr>
                <w:rFonts w:ascii="Arial"/>
                <w:spacing w:val="-6"/>
                <w:sz w:val="18"/>
              </w:rPr>
              <w:t> </w:t>
            </w:r>
            <w:r>
              <w:rPr>
                <w:rFonts w:ascii="Arial"/>
                <w:sz w:val="18"/>
              </w:rPr>
              <w:t>31-12-</w:t>
            </w:r>
            <w:r>
              <w:rPr>
                <w:rFonts w:ascii="Arial"/>
                <w:spacing w:val="-5"/>
                <w:sz w:val="18"/>
              </w:rPr>
              <w:t>19</w:t>
            </w:r>
          </w:p>
          <w:p>
            <w:pPr>
              <w:pStyle w:val="TableParagraph"/>
              <w:spacing w:line="187" w:lineRule="exact" w:before="21"/>
              <w:ind w:left="103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ACTORES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CANARIAS,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S.COOP.</w:t>
            </w:r>
            <w:r>
              <w:rPr>
                <w:rFonts w:ascii="Arial"/>
                <w:spacing w:val="64"/>
                <w:w w:val="150"/>
                <w:sz w:val="18"/>
              </w:rPr>
              <w:t> </w:t>
            </w:r>
            <w:r>
              <w:rPr>
                <w:rFonts w:ascii="Arial"/>
                <w:sz w:val="18"/>
              </w:rPr>
              <w:t>(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Importes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Euros</w:t>
            </w:r>
            <w:r>
              <w:rPr>
                <w:rFonts w:ascii="Arial"/>
                <w:spacing w:val="-5"/>
                <w:sz w:val="18"/>
              </w:rPr>
              <w:t> </w:t>
            </w:r>
            <w:r>
              <w:rPr>
                <w:rFonts w:ascii="Arial"/>
                <w:spacing w:val="-10"/>
                <w:sz w:val="18"/>
              </w:rPr>
              <w:t>)</w:t>
            </w:r>
          </w:p>
        </w:tc>
        <w:tc>
          <w:tcPr>
            <w:tcW w:w="3079" w:type="dxa"/>
          </w:tcPr>
          <w:p>
            <w:pPr>
              <w:pStyle w:val="TableParagraph"/>
              <w:spacing w:line="240" w:lineRule="auto" w:before="22"/>
              <w:ind w:left="150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EMPRESA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N-1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: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8H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-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z w:val="18"/>
              </w:rPr>
              <w:t>ESCUELA</w:t>
            </w:r>
            <w:r>
              <w:rPr>
                <w:rFonts w:ascii="Arial"/>
                <w:spacing w:val="-4"/>
                <w:sz w:val="18"/>
              </w:rPr>
              <w:t> </w:t>
            </w:r>
            <w:r>
              <w:rPr>
                <w:rFonts w:ascii="Arial"/>
                <w:spacing w:val="-5"/>
                <w:sz w:val="18"/>
              </w:rPr>
              <w:t>DE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9"/>
      </w:pPr>
    </w:p>
    <w:p>
      <w:pPr>
        <w:pStyle w:val="BodyText"/>
        <w:tabs>
          <w:tab w:pos="6748" w:val="left" w:leader="none"/>
          <w:tab w:pos="8335" w:val="left" w:leader="none"/>
        </w:tabs>
        <w:spacing w:before="1"/>
        <w:ind w:left="7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45719</wp:posOffset>
                </wp:positionH>
                <wp:positionV relativeFrom="paragraph">
                  <wp:posOffset>118613</wp:posOffset>
                </wp:positionV>
                <wp:extent cx="416179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161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1790" h="0">
                              <a:moveTo>
                                <a:pt x="0" y="0"/>
                              </a:moveTo>
                              <a:lnTo>
                                <a:pt x="4161358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.6pt;margin-top:9.339637pt;width:327.7pt;height:.1pt;mso-position-horizontal-relative:page;mso-position-vertical-relative:paragraph;z-index:-15726592;mso-wrap-distance-left:0;mso-wrap-distance-right:0" id="docshape9" coordorigin="72,187" coordsize="6554,0" path="m72,187l6625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4251959</wp:posOffset>
                </wp:positionH>
                <wp:positionV relativeFrom="paragraph">
                  <wp:posOffset>118613</wp:posOffset>
                </wp:positionV>
                <wp:extent cx="64071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40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715" h="0">
                              <a:moveTo>
                                <a:pt x="0" y="0"/>
                              </a:moveTo>
                              <a:lnTo>
                                <a:pt x="640209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4.799988pt;margin-top:9.339637pt;width:50.45pt;height:.1pt;mso-position-horizontal-relative:page;mso-position-vertical-relative:paragraph;z-index:-15726080;mso-wrap-distance-left:0;mso-wrap-distance-right:0" id="docshape10" coordorigin="6696,187" coordsize="1009,0" path="m6696,187l7704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4937759</wp:posOffset>
                </wp:positionH>
                <wp:positionV relativeFrom="paragraph">
                  <wp:posOffset>118613</wp:posOffset>
                </wp:positionV>
                <wp:extent cx="960755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96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0755" h="0">
                              <a:moveTo>
                                <a:pt x="0" y="0"/>
                              </a:moveTo>
                              <a:lnTo>
                                <a:pt x="960313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8.799988pt;margin-top:9.339637pt;width:75.650pt;height:.1pt;mso-position-horizontal-relative:page;mso-position-vertical-relative:paragraph;z-index:-15725568;mso-wrap-distance-left:0;mso-wrap-distance-right:0" id="docshape11" coordorigin="7776,187" coordsize="1513,0" path="m7776,187l9288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539495</wp:posOffset>
                </wp:positionH>
                <wp:positionV relativeFrom="paragraph">
                  <wp:posOffset>-243831</wp:posOffset>
                </wp:positionV>
                <wp:extent cx="6661784" cy="127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6617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784" h="0">
                              <a:moveTo>
                                <a:pt x="0" y="0"/>
                              </a:moveTo>
                              <a:lnTo>
                                <a:pt x="6661403" y="0"/>
                              </a:lnTo>
                            </a:path>
                          </a:pathLst>
                        </a:custGeom>
                        <a:ln w="1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42.48pt,-19.199362pt" to="566.999988pt,-19.199362pt" stroked="true" strokeweight=".12pt" strokecolor="#000000">
                <v:stroke dashstyle="solid"/>
                <w10:wrap type="none"/>
              </v:line>
            </w:pict>
          </mc:Fallback>
        </mc:AlternateContent>
      </w:r>
      <w:r>
        <w:rPr/>
        <w:t>H A B E </w:t>
      </w:r>
      <w:r>
        <w:rPr>
          <w:spacing w:val="-10"/>
        </w:rPr>
        <w:t>R</w:t>
      </w:r>
      <w:r>
        <w:rPr/>
        <w:tab/>
        <w:t>EJERCICIO </w:t>
      </w:r>
      <w:r>
        <w:rPr>
          <w:spacing w:val="-5"/>
        </w:rPr>
        <w:t>20</w:t>
      </w:r>
      <w:r>
        <w:rPr/>
        <w:tab/>
        <w:t>EJERCICIO </w:t>
      </w:r>
      <w:r>
        <w:rPr>
          <w:spacing w:val="-5"/>
        </w:rPr>
        <w:t>19</w:t>
      </w:r>
    </w:p>
    <w:p>
      <w:pPr>
        <w:pStyle w:val="BodyText"/>
        <w:spacing w:before="8"/>
        <w:rPr>
          <w:sz w:val="15"/>
        </w:rPr>
      </w:pPr>
    </w:p>
    <w:tbl>
      <w:tblPr>
        <w:tblW w:w="0" w:type="auto"/>
        <w:jc w:val="left"/>
        <w:tblInd w:w="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3"/>
        <w:gridCol w:w="1764"/>
        <w:gridCol w:w="1258"/>
      </w:tblGrid>
      <w:tr>
        <w:trPr>
          <w:trHeight w:val="130" w:hRule="atLeast"/>
        </w:trPr>
        <w:tc>
          <w:tcPr>
            <w:tcW w:w="6263" w:type="dxa"/>
          </w:tcPr>
          <w:p>
            <w:pPr>
              <w:pStyle w:val="TableParagraph"/>
              <w:spacing w:line="110" w:lineRule="exact"/>
              <w:ind w:left="33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INGRESOS</w:t>
            </w:r>
          </w:p>
        </w:tc>
        <w:tc>
          <w:tcPr>
            <w:tcW w:w="1764" w:type="dxa"/>
          </w:tcPr>
          <w:p>
            <w:pPr>
              <w:pStyle w:val="TableParagraph"/>
              <w:spacing w:line="110" w:lineRule="exact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1.100.835,34</w:t>
            </w:r>
          </w:p>
        </w:tc>
        <w:tc>
          <w:tcPr>
            <w:tcW w:w="1258" w:type="dxa"/>
          </w:tcPr>
          <w:p>
            <w:pPr>
              <w:pStyle w:val="TableParagraph"/>
              <w:spacing w:line="110" w:lineRule="exact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1.176.451,10</w:t>
            </w:r>
          </w:p>
        </w:tc>
      </w:tr>
      <w:tr>
        <w:trPr>
          <w:trHeight w:val="124" w:hRule="atLeast"/>
        </w:trPr>
        <w:tc>
          <w:tcPr>
            <w:tcW w:w="6263" w:type="dxa"/>
          </w:tcPr>
          <w:p>
            <w:pPr>
              <w:pStyle w:val="TableParagraph"/>
              <w:ind w:left="249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A) OPERACIONES </w:t>
            </w:r>
            <w:r>
              <w:rPr>
                <w:b/>
                <w:spacing w:val="-2"/>
                <w:sz w:val="12"/>
              </w:rPr>
              <w:t>CONTINUADAS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1.100.835,34</w:t>
            </w:r>
          </w:p>
        </w:tc>
        <w:tc>
          <w:tcPr>
            <w:tcW w:w="1258" w:type="dxa"/>
          </w:tcPr>
          <w:p>
            <w:pPr>
              <w:pStyle w:val="TableParagraph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1.176.451,10</w:t>
            </w:r>
          </w:p>
        </w:tc>
      </w:tr>
      <w:tr>
        <w:trPr>
          <w:trHeight w:val="124" w:hRule="atLeast"/>
        </w:trPr>
        <w:tc>
          <w:tcPr>
            <w:tcW w:w="6263" w:type="dxa"/>
          </w:tcPr>
          <w:p>
            <w:pPr>
              <w:pStyle w:val="TableParagraph"/>
              <w:ind w:left="465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1. Importe neto de la cifra de </w:t>
            </w:r>
            <w:r>
              <w:rPr>
                <w:b/>
                <w:spacing w:val="-2"/>
                <w:sz w:val="12"/>
              </w:rPr>
              <w:t>negocios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200.272,99</w:t>
            </w:r>
          </w:p>
        </w:tc>
        <w:tc>
          <w:tcPr>
            <w:tcW w:w="1258" w:type="dxa"/>
          </w:tcPr>
          <w:p>
            <w:pPr>
              <w:pStyle w:val="TableParagraph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276.422,30</w:t>
            </w:r>
          </w:p>
        </w:tc>
      </w:tr>
      <w:tr>
        <w:trPr>
          <w:trHeight w:val="124" w:hRule="atLeast"/>
        </w:trPr>
        <w:tc>
          <w:tcPr>
            <w:tcW w:w="6263" w:type="dxa"/>
          </w:tcPr>
          <w:p>
            <w:pPr>
              <w:pStyle w:val="TableParagraph"/>
              <w:ind w:left="681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a) </w:t>
            </w:r>
            <w:r>
              <w:rPr>
                <w:b/>
                <w:spacing w:val="-2"/>
                <w:sz w:val="12"/>
              </w:rPr>
              <w:t>Ventas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189.929,86</w:t>
            </w:r>
          </w:p>
        </w:tc>
        <w:tc>
          <w:tcPr>
            <w:tcW w:w="1258" w:type="dxa"/>
          </w:tcPr>
          <w:p>
            <w:pPr>
              <w:pStyle w:val="TableParagraph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250.692,30</w:t>
            </w:r>
          </w:p>
        </w:tc>
      </w:tr>
      <w:tr>
        <w:trPr>
          <w:trHeight w:val="124" w:hRule="atLeast"/>
        </w:trPr>
        <w:tc>
          <w:tcPr>
            <w:tcW w:w="6263" w:type="dxa"/>
          </w:tcPr>
          <w:p>
            <w:pPr>
              <w:pStyle w:val="TableParagraph"/>
              <w:ind w:left="897"/>
              <w:jc w:val="left"/>
              <w:rPr>
                <w:sz w:val="12"/>
              </w:rPr>
            </w:pPr>
            <w:r>
              <w:rPr>
                <w:sz w:val="12"/>
              </w:rPr>
              <w:t>700. Ventas de </w:t>
            </w:r>
            <w:r>
              <w:rPr>
                <w:spacing w:val="-2"/>
                <w:sz w:val="12"/>
              </w:rPr>
              <w:t>mercaderías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189.929,86</w:t>
            </w:r>
          </w:p>
        </w:tc>
        <w:tc>
          <w:tcPr>
            <w:tcW w:w="1258" w:type="dxa"/>
          </w:tcPr>
          <w:p>
            <w:pPr>
              <w:pStyle w:val="TableParagraph"/>
              <w:ind w:right="31"/>
              <w:rPr>
                <w:sz w:val="12"/>
              </w:rPr>
            </w:pPr>
            <w:r>
              <w:rPr>
                <w:spacing w:val="-2"/>
                <w:sz w:val="12"/>
              </w:rPr>
              <w:t>250.692,30</w:t>
            </w:r>
          </w:p>
        </w:tc>
      </w:tr>
      <w:tr>
        <w:trPr>
          <w:trHeight w:val="124" w:hRule="atLeast"/>
        </w:trPr>
        <w:tc>
          <w:tcPr>
            <w:tcW w:w="6263" w:type="dxa"/>
          </w:tcPr>
          <w:p>
            <w:pPr>
              <w:pStyle w:val="TableParagraph"/>
              <w:ind w:left="681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b) Prestaciones de </w:t>
            </w:r>
            <w:r>
              <w:rPr>
                <w:b/>
                <w:spacing w:val="-2"/>
                <w:sz w:val="12"/>
              </w:rPr>
              <w:t>servicios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10.343,13</w:t>
            </w:r>
          </w:p>
        </w:tc>
        <w:tc>
          <w:tcPr>
            <w:tcW w:w="1258" w:type="dxa"/>
          </w:tcPr>
          <w:p>
            <w:pPr>
              <w:pStyle w:val="TableParagraph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25.730,00</w:t>
            </w:r>
          </w:p>
        </w:tc>
      </w:tr>
      <w:tr>
        <w:trPr>
          <w:trHeight w:val="124" w:hRule="atLeast"/>
        </w:trPr>
        <w:tc>
          <w:tcPr>
            <w:tcW w:w="6263" w:type="dxa"/>
          </w:tcPr>
          <w:p>
            <w:pPr>
              <w:pStyle w:val="TableParagraph"/>
              <w:ind w:left="897"/>
              <w:jc w:val="left"/>
              <w:rPr>
                <w:sz w:val="12"/>
              </w:rPr>
            </w:pPr>
            <w:r>
              <w:rPr>
                <w:sz w:val="12"/>
              </w:rPr>
              <w:t>705. Prestaciones de </w:t>
            </w:r>
            <w:r>
              <w:rPr>
                <w:spacing w:val="-2"/>
                <w:sz w:val="12"/>
              </w:rPr>
              <w:t>servicios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10.343,13</w:t>
            </w:r>
          </w:p>
        </w:tc>
        <w:tc>
          <w:tcPr>
            <w:tcW w:w="1258" w:type="dxa"/>
          </w:tcPr>
          <w:p>
            <w:pPr>
              <w:pStyle w:val="TableParagraph"/>
              <w:ind w:right="31"/>
              <w:rPr>
                <w:sz w:val="12"/>
              </w:rPr>
            </w:pPr>
            <w:r>
              <w:rPr>
                <w:spacing w:val="-2"/>
                <w:sz w:val="12"/>
              </w:rPr>
              <w:t>25.730,00</w:t>
            </w:r>
          </w:p>
        </w:tc>
      </w:tr>
      <w:tr>
        <w:trPr>
          <w:trHeight w:val="124" w:hRule="atLeast"/>
        </w:trPr>
        <w:tc>
          <w:tcPr>
            <w:tcW w:w="6263" w:type="dxa"/>
          </w:tcPr>
          <w:p>
            <w:pPr>
              <w:pStyle w:val="TableParagraph"/>
              <w:ind w:left="465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5. Otros ingresos de </w:t>
            </w:r>
            <w:r>
              <w:rPr>
                <w:b/>
                <w:spacing w:val="-2"/>
                <w:sz w:val="12"/>
              </w:rPr>
              <w:t>explotación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900.000,00</w:t>
            </w:r>
          </w:p>
        </w:tc>
        <w:tc>
          <w:tcPr>
            <w:tcW w:w="1258" w:type="dxa"/>
          </w:tcPr>
          <w:p>
            <w:pPr>
              <w:pStyle w:val="TableParagraph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900.000,00</w:t>
            </w:r>
          </w:p>
        </w:tc>
      </w:tr>
      <w:tr>
        <w:trPr>
          <w:trHeight w:val="124" w:hRule="atLeast"/>
        </w:trPr>
        <w:tc>
          <w:tcPr>
            <w:tcW w:w="6263" w:type="dxa"/>
          </w:tcPr>
          <w:p>
            <w:pPr>
              <w:pStyle w:val="TableParagraph"/>
              <w:ind w:left="681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b) Subvenciones de explotación incorporadas al resultado del </w:t>
            </w:r>
            <w:r>
              <w:rPr>
                <w:b/>
                <w:spacing w:val="-2"/>
                <w:sz w:val="12"/>
              </w:rPr>
              <w:t>ejercicio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900.000,00</w:t>
            </w:r>
          </w:p>
        </w:tc>
        <w:tc>
          <w:tcPr>
            <w:tcW w:w="1258" w:type="dxa"/>
          </w:tcPr>
          <w:p>
            <w:pPr>
              <w:pStyle w:val="TableParagraph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900.000,00</w:t>
            </w:r>
          </w:p>
        </w:tc>
      </w:tr>
      <w:tr>
        <w:trPr>
          <w:trHeight w:val="124" w:hRule="atLeast"/>
        </w:trPr>
        <w:tc>
          <w:tcPr>
            <w:tcW w:w="6263" w:type="dxa"/>
          </w:tcPr>
          <w:p>
            <w:pPr>
              <w:pStyle w:val="TableParagraph"/>
              <w:ind w:left="897"/>
              <w:jc w:val="left"/>
              <w:rPr>
                <w:sz w:val="12"/>
              </w:rPr>
            </w:pPr>
            <w:r>
              <w:rPr>
                <w:sz w:val="12"/>
              </w:rPr>
              <w:t>740. Subvenciones, donaciones y legados a la </w:t>
            </w:r>
            <w:r>
              <w:rPr>
                <w:spacing w:val="-2"/>
                <w:sz w:val="12"/>
              </w:rPr>
              <w:t>explotación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900.000,00</w:t>
            </w:r>
          </w:p>
        </w:tc>
        <w:tc>
          <w:tcPr>
            <w:tcW w:w="1258" w:type="dxa"/>
          </w:tcPr>
          <w:p>
            <w:pPr>
              <w:pStyle w:val="TableParagraph"/>
              <w:ind w:right="31"/>
              <w:rPr>
                <w:sz w:val="12"/>
              </w:rPr>
            </w:pPr>
            <w:r>
              <w:rPr>
                <w:spacing w:val="-2"/>
                <w:sz w:val="12"/>
              </w:rPr>
              <w:t>900.000,00</w:t>
            </w:r>
          </w:p>
        </w:tc>
      </w:tr>
      <w:tr>
        <w:trPr>
          <w:trHeight w:val="124" w:hRule="atLeast"/>
        </w:trPr>
        <w:tc>
          <w:tcPr>
            <w:tcW w:w="6263" w:type="dxa"/>
          </w:tcPr>
          <w:p>
            <w:pPr>
              <w:pStyle w:val="TableParagraph"/>
              <w:ind w:left="465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12. Otros </w:t>
            </w:r>
            <w:r>
              <w:rPr>
                <w:b/>
                <w:spacing w:val="-2"/>
                <w:sz w:val="12"/>
              </w:rPr>
              <w:t>resultados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533,55</w:t>
            </w:r>
          </w:p>
        </w:tc>
        <w:tc>
          <w:tcPr>
            <w:tcW w:w="1258" w:type="dxa"/>
          </w:tcPr>
          <w:p>
            <w:pPr>
              <w:pStyle w:val="TableParagraph"/>
              <w:ind w:right="31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</w:tr>
      <w:tr>
        <w:trPr>
          <w:trHeight w:val="187" w:hRule="atLeast"/>
        </w:trPr>
        <w:tc>
          <w:tcPr>
            <w:tcW w:w="6263" w:type="dxa"/>
          </w:tcPr>
          <w:p>
            <w:pPr>
              <w:pStyle w:val="TableParagraph"/>
              <w:spacing w:line="130" w:lineRule="exact"/>
              <w:ind w:left="681"/>
              <w:jc w:val="left"/>
              <w:rPr>
                <w:sz w:val="12"/>
              </w:rPr>
            </w:pPr>
            <w:r>
              <w:rPr>
                <w:sz w:val="12"/>
              </w:rPr>
              <w:t>778. Ingresos </w:t>
            </w:r>
            <w:r>
              <w:rPr>
                <w:spacing w:val="-2"/>
                <w:sz w:val="12"/>
              </w:rPr>
              <w:t>excepcionales</w:t>
            </w:r>
          </w:p>
        </w:tc>
        <w:tc>
          <w:tcPr>
            <w:tcW w:w="1764" w:type="dxa"/>
          </w:tcPr>
          <w:p>
            <w:pPr>
              <w:pStyle w:val="TableParagraph"/>
              <w:spacing w:line="130" w:lineRule="exact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533,55</w:t>
            </w:r>
          </w:p>
        </w:tc>
        <w:tc>
          <w:tcPr>
            <w:tcW w:w="1258" w:type="dxa"/>
          </w:tcPr>
          <w:p>
            <w:pPr>
              <w:pStyle w:val="TableParagraph"/>
              <w:spacing w:line="130" w:lineRule="exact"/>
              <w:ind w:right="31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>
        <w:trPr>
          <w:trHeight w:val="187" w:hRule="atLeast"/>
        </w:trPr>
        <w:tc>
          <w:tcPr>
            <w:tcW w:w="6263" w:type="dxa"/>
          </w:tcPr>
          <w:p>
            <w:pPr>
              <w:pStyle w:val="TableParagraph"/>
              <w:spacing w:line="110" w:lineRule="exact" w:before="57"/>
              <w:ind w:left="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A.1) PÉRDIDA DE </w:t>
            </w:r>
            <w:r>
              <w:rPr>
                <w:b/>
                <w:spacing w:val="-2"/>
                <w:sz w:val="12"/>
              </w:rPr>
              <w:t>EXPLOTACIÓN</w:t>
            </w:r>
          </w:p>
        </w:tc>
        <w:tc>
          <w:tcPr>
            <w:tcW w:w="1764" w:type="dxa"/>
          </w:tcPr>
          <w:p>
            <w:pPr>
              <w:pStyle w:val="TableParagraph"/>
              <w:spacing w:line="110" w:lineRule="exact" w:before="57"/>
              <w:ind w:right="35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  <w:tc>
          <w:tcPr>
            <w:tcW w:w="1258" w:type="dxa"/>
          </w:tcPr>
          <w:p>
            <w:pPr>
              <w:pStyle w:val="TableParagraph"/>
              <w:spacing w:line="110" w:lineRule="exact" w:before="57"/>
              <w:ind w:right="31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0,00</w:t>
            </w:r>
          </w:p>
        </w:tc>
      </w:tr>
      <w:tr>
        <w:trPr>
          <w:trHeight w:val="124" w:hRule="atLeast"/>
        </w:trPr>
        <w:tc>
          <w:tcPr>
            <w:tcW w:w="6263" w:type="dxa"/>
          </w:tcPr>
          <w:p>
            <w:pPr>
              <w:pStyle w:val="TableParagraph"/>
              <w:ind w:left="249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13. Ingresos </w:t>
            </w:r>
            <w:r>
              <w:rPr>
                <w:b/>
                <w:spacing w:val="-2"/>
                <w:sz w:val="12"/>
              </w:rPr>
              <w:t>financieros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28,80</w:t>
            </w:r>
          </w:p>
        </w:tc>
        <w:tc>
          <w:tcPr>
            <w:tcW w:w="1258" w:type="dxa"/>
          </w:tcPr>
          <w:p>
            <w:pPr>
              <w:pStyle w:val="TableParagraph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28,80</w:t>
            </w:r>
          </w:p>
        </w:tc>
      </w:tr>
      <w:tr>
        <w:trPr>
          <w:trHeight w:val="124" w:hRule="atLeast"/>
        </w:trPr>
        <w:tc>
          <w:tcPr>
            <w:tcW w:w="6263" w:type="dxa"/>
          </w:tcPr>
          <w:p>
            <w:pPr>
              <w:pStyle w:val="TableParagraph"/>
              <w:ind w:left="465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b) De valores negociables y créditos del activo </w:t>
            </w:r>
            <w:r>
              <w:rPr>
                <w:b/>
                <w:spacing w:val="-2"/>
                <w:sz w:val="12"/>
              </w:rPr>
              <w:t>inmovilizado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28,80</w:t>
            </w:r>
          </w:p>
        </w:tc>
        <w:tc>
          <w:tcPr>
            <w:tcW w:w="1258" w:type="dxa"/>
          </w:tcPr>
          <w:p>
            <w:pPr>
              <w:pStyle w:val="TableParagraph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28,80</w:t>
            </w:r>
          </w:p>
        </w:tc>
      </w:tr>
      <w:tr>
        <w:trPr>
          <w:trHeight w:val="124" w:hRule="atLeast"/>
        </w:trPr>
        <w:tc>
          <w:tcPr>
            <w:tcW w:w="6263" w:type="dxa"/>
          </w:tcPr>
          <w:p>
            <w:pPr>
              <w:pStyle w:val="TableParagraph"/>
              <w:ind w:left="681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b2) De </w:t>
            </w:r>
            <w:r>
              <w:rPr>
                <w:b/>
                <w:spacing w:val="-2"/>
                <w:sz w:val="12"/>
              </w:rPr>
              <w:t>terceros</w:t>
            </w:r>
          </w:p>
        </w:tc>
        <w:tc>
          <w:tcPr>
            <w:tcW w:w="1764" w:type="dxa"/>
          </w:tcPr>
          <w:p>
            <w:pPr>
              <w:pStyle w:val="TableParagraph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28,80</w:t>
            </w:r>
          </w:p>
        </w:tc>
        <w:tc>
          <w:tcPr>
            <w:tcW w:w="1258" w:type="dxa"/>
          </w:tcPr>
          <w:p>
            <w:pPr>
              <w:pStyle w:val="TableParagraph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28,80</w:t>
            </w:r>
          </w:p>
        </w:tc>
      </w:tr>
      <w:tr>
        <w:trPr>
          <w:trHeight w:val="187" w:hRule="atLeast"/>
        </w:trPr>
        <w:tc>
          <w:tcPr>
            <w:tcW w:w="6263" w:type="dxa"/>
          </w:tcPr>
          <w:p>
            <w:pPr>
              <w:pStyle w:val="TableParagraph"/>
              <w:spacing w:line="130" w:lineRule="exact"/>
              <w:ind w:left="897"/>
              <w:jc w:val="left"/>
              <w:rPr>
                <w:sz w:val="12"/>
              </w:rPr>
            </w:pPr>
            <w:r>
              <w:rPr>
                <w:sz w:val="12"/>
              </w:rPr>
              <w:t>769. Otros ingresos </w:t>
            </w:r>
            <w:r>
              <w:rPr>
                <w:spacing w:val="-2"/>
                <w:sz w:val="12"/>
              </w:rPr>
              <w:t>financieros</w:t>
            </w:r>
          </w:p>
        </w:tc>
        <w:tc>
          <w:tcPr>
            <w:tcW w:w="1764" w:type="dxa"/>
          </w:tcPr>
          <w:p>
            <w:pPr>
              <w:pStyle w:val="TableParagraph"/>
              <w:spacing w:line="130" w:lineRule="exact"/>
              <w:ind w:right="357"/>
              <w:rPr>
                <w:sz w:val="12"/>
              </w:rPr>
            </w:pPr>
            <w:r>
              <w:rPr>
                <w:spacing w:val="-2"/>
                <w:sz w:val="12"/>
              </w:rPr>
              <w:t>28,80</w:t>
            </w:r>
          </w:p>
        </w:tc>
        <w:tc>
          <w:tcPr>
            <w:tcW w:w="1258" w:type="dxa"/>
          </w:tcPr>
          <w:p>
            <w:pPr>
              <w:pStyle w:val="TableParagraph"/>
              <w:spacing w:line="130" w:lineRule="exact"/>
              <w:ind w:right="31"/>
              <w:rPr>
                <w:sz w:val="12"/>
              </w:rPr>
            </w:pPr>
            <w:r>
              <w:rPr>
                <w:spacing w:val="-2"/>
                <w:sz w:val="12"/>
              </w:rPr>
              <w:t>28,80</w:t>
            </w:r>
          </w:p>
        </w:tc>
      </w:tr>
      <w:tr>
        <w:trPr>
          <w:trHeight w:val="192" w:hRule="atLeast"/>
        </w:trPr>
        <w:tc>
          <w:tcPr>
            <w:tcW w:w="6263" w:type="dxa"/>
          </w:tcPr>
          <w:p>
            <w:pPr>
              <w:pStyle w:val="TableParagraph"/>
              <w:spacing w:line="116" w:lineRule="exact" w:before="57"/>
              <w:ind w:left="33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A.2) RESULTADO FINANCIERO </w:t>
            </w:r>
            <w:r>
              <w:rPr>
                <w:b/>
                <w:spacing w:val="-2"/>
                <w:sz w:val="12"/>
              </w:rPr>
              <w:t>(PÉRDIDAS)</w:t>
            </w:r>
          </w:p>
        </w:tc>
        <w:tc>
          <w:tcPr>
            <w:tcW w:w="1764" w:type="dxa"/>
          </w:tcPr>
          <w:p>
            <w:pPr>
              <w:pStyle w:val="TableParagraph"/>
              <w:spacing w:line="116" w:lineRule="exact" w:before="57"/>
              <w:ind w:right="3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2.995,65</w:t>
            </w:r>
          </w:p>
        </w:tc>
        <w:tc>
          <w:tcPr>
            <w:tcW w:w="1258" w:type="dxa"/>
          </w:tcPr>
          <w:p>
            <w:pPr>
              <w:pStyle w:val="TableParagraph"/>
              <w:spacing w:line="116" w:lineRule="exact" w:before="57"/>
              <w:ind w:right="3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4.264,35</w:t>
            </w:r>
          </w:p>
        </w:tc>
      </w:tr>
    </w:tbl>
    <w:sectPr>
      <w:pgSz w:w="11910" w:h="16840"/>
      <w:pgMar w:header="627" w:footer="761" w:top="1000" w:bottom="960" w:left="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7024">
              <wp:simplePos x="0" y="0"/>
              <wp:positionH relativeFrom="page">
                <wp:posOffset>526795</wp:posOffset>
              </wp:positionH>
              <wp:positionV relativeFrom="page">
                <wp:posOffset>10069383</wp:posOffset>
              </wp:positionV>
              <wp:extent cx="1164590" cy="16383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164590" cy="163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9"/>
                            </w:rPr>
                            <w:t>Sage</w:t>
                          </w:r>
                          <w:r>
                            <w:rPr>
                              <w:rFonts w:ascii="Arial"/>
                              <w:b/>
                              <w:spacing w:val="8"/>
                              <w:sz w:val="19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19"/>
                            </w:rPr>
                            <w:t>SP</w:t>
                          </w:r>
                          <w:r>
                            <w:rPr>
                              <w:rFonts w:ascii="Arial"/>
                              <w:b/>
                              <w:spacing w:val="8"/>
                              <w:sz w:val="19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9"/>
                            </w:rPr>
                            <w:t>ContaPlus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.48pt;margin-top:792.864868pt;width:91.7pt;height:12.9pt;mso-position-horizontal-relative:page;mso-position-vertical-relative:page;z-index:-16019456" type="#_x0000_t202" id="docshape3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sz w:val="19"/>
                      </w:rPr>
                      <w:t>Sage</w:t>
                    </w:r>
                    <w:r>
                      <w:rPr>
                        <w:rFonts w:ascii="Arial"/>
                        <w:b/>
                        <w:spacing w:val="8"/>
                        <w:sz w:val="19"/>
                      </w:rPr>
                      <w:t> </w:t>
                    </w:r>
                    <w:r>
                      <w:rPr>
                        <w:rFonts w:ascii="Arial"/>
                        <w:b/>
                        <w:sz w:val="19"/>
                      </w:rPr>
                      <w:t>SP</w:t>
                    </w:r>
                    <w:r>
                      <w:rPr>
                        <w:rFonts w:ascii="Arial"/>
                        <w:b/>
                        <w:spacing w:val="8"/>
                        <w:sz w:val="19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sz w:val="19"/>
                      </w:rPr>
                      <w:t>ContaPlus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7536">
              <wp:simplePos x="0" y="0"/>
              <wp:positionH relativeFrom="page">
                <wp:posOffset>5927851</wp:posOffset>
              </wp:positionH>
              <wp:positionV relativeFrom="page">
                <wp:posOffset>10069383</wp:posOffset>
              </wp:positionV>
              <wp:extent cx="430530" cy="16383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430530" cy="163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9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9"/>
                            </w:rPr>
                            <w:t>Página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6.759979pt;margin-top:792.864868pt;width:33.9pt;height:12.9pt;mso-position-horizontal-relative:page;mso-position-vertical-relative:page;z-index:-16018944" type="#_x0000_t202" id="docshape4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9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9"/>
                      </w:rPr>
                      <w:t>Página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8048">
              <wp:simplePos x="0" y="0"/>
              <wp:positionH relativeFrom="page">
                <wp:posOffset>6736079</wp:posOffset>
              </wp:positionH>
              <wp:positionV relativeFrom="page">
                <wp:posOffset>10078528</wp:posOffset>
              </wp:positionV>
              <wp:extent cx="158115" cy="16383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58115" cy="163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60" w:right="0" w:firstLine="0"/>
                            <w:jc w:val="left"/>
                            <w:rPr>
                              <w:rFonts w:ascii="Arial"/>
                              <w:b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0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9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0.399963pt;margin-top:793.58490pt;width:12.45pt;height:12.9pt;mso-position-horizontal-relative:page;mso-position-vertical-relative:page;z-index:-16018432" type="#_x0000_t202" id="docshape5" filled="false" stroked="false">
              <v:textbox inset="0,0,0,0">
                <w:txbxContent>
                  <w:p>
                    <w:pPr>
                      <w:spacing w:before="17"/>
                      <w:ind w:left="60" w:right="0" w:firstLine="0"/>
                      <w:jc w:val="left"/>
                      <w:rPr>
                        <w:rFonts w:ascii="Arial"/>
                        <w:b/>
                        <w:sz w:val="19"/>
                      </w:rPr>
                    </w:pPr>
                    <w:r>
                      <w:rPr>
                        <w:rFonts w:ascii="Arial"/>
                        <w:b/>
                        <w:spacing w:val="-10"/>
                        <w:sz w:val="19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0"/>
                        <w:sz w:val="19"/>
                      </w:rPr>
                      <w:instrText> PAGE </w:instrText>
                    </w:r>
                    <w:r>
                      <w:rPr>
                        <w:rFonts w:ascii="Arial"/>
                        <w:b/>
                        <w:spacing w:val="-10"/>
                        <w:sz w:val="19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10"/>
                        <w:sz w:val="19"/>
                      </w:rPr>
                      <w:t>1</w:t>
                    </w:r>
                    <w:r>
                      <w:rPr>
                        <w:rFonts w:ascii="Arial"/>
                        <w:b/>
                        <w:spacing w:val="-10"/>
                        <w:sz w:val="19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6000">
              <wp:simplePos x="0" y="0"/>
              <wp:positionH relativeFrom="page">
                <wp:posOffset>539495</wp:posOffset>
              </wp:positionH>
              <wp:positionV relativeFrom="page">
                <wp:posOffset>612647</wp:posOffset>
              </wp:positionV>
              <wp:extent cx="6659880" cy="1524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659880" cy="152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59880" h="15240">
                            <a:moveTo>
                              <a:pt x="0" y="15240"/>
                            </a:moveTo>
                            <a:lnTo>
                              <a:pt x="6659879" y="15240"/>
                            </a:lnTo>
                            <a:lnTo>
                              <a:pt x="6659879" y="0"/>
                            </a:lnTo>
                            <a:lnTo>
                              <a:pt x="0" y="0"/>
                            </a:lnTo>
                            <a:lnTo>
                              <a:pt x="0" y="15240"/>
                            </a:lnTo>
                            <a:close/>
                          </a:path>
                        </a:pathLst>
                      </a:custGeom>
                      <a:ln w="304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42.48pt;margin-top:48.239983pt;width:524.399988pt;height:1.2pt;mso-position-horizontal-relative:page;mso-position-vertical-relative:page;z-index:-16020480" id="docshape1" filled="false" stroked="true" strokeweight=".24pt" strokecolor="#000000">
              <v:stroke dashstyle="solid"/>
              <w10:wrap type="none"/>
            </v:rect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6512">
              <wp:simplePos x="0" y="0"/>
              <wp:positionH relativeFrom="page">
                <wp:posOffset>2192527</wp:posOffset>
              </wp:positionH>
              <wp:positionV relativeFrom="page">
                <wp:posOffset>385429</wp:posOffset>
              </wp:positionV>
              <wp:extent cx="3370579" cy="2286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370579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CUENTA</w:t>
                          </w:r>
                          <w:r>
                            <w:rPr>
                              <w:rFonts w:ascii="Arial"/>
                              <w:b/>
                              <w:spacing w:val="16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17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PERDIDAS</w:t>
                          </w:r>
                          <w:r>
                            <w:rPr>
                              <w:rFonts w:ascii="Arial"/>
                              <w:b/>
                              <w:spacing w:val="17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8"/>
                            </w:rPr>
                            <w:t>y</w:t>
                          </w:r>
                          <w:r>
                            <w:rPr>
                              <w:rFonts w:ascii="Arial"/>
                              <w:b/>
                              <w:spacing w:val="17"/>
                              <w:sz w:val="2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8"/>
                            </w:rPr>
                            <w:t>GANANCIAS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2.639999pt;margin-top:30.348818pt;width:265.4pt;height:18pt;mso-position-horizontal-relative:page;mso-position-vertical-relative:page;z-index:-16019968" type="#_x0000_t202" id="docshape2" filled="false" stroked="false">
              <v:textbox inset="0,0,0,0">
                <w:txbxContent>
                  <w:p>
                    <w:pPr>
                      <w:spacing w:before="16"/>
                      <w:ind w:left="20" w:right="0" w:firstLine="0"/>
                      <w:jc w:val="left"/>
                      <w:rPr>
                        <w:rFonts w:ascii="Arial"/>
                        <w:b/>
                        <w:sz w:val="28"/>
                      </w:rPr>
                    </w:pPr>
                    <w:r>
                      <w:rPr>
                        <w:rFonts w:ascii="Arial"/>
                        <w:b/>
                        <w:sz w:val="28"/>
                      </w:rPr>
                      <w:t>CUENTA</w:t>
                    </w:r>
                    <w:r>
                      <w:rPr>
                        <w:rFonts w:ascii="Arial"/>
                        <w:b/>
                        <w:spacing w:val="16"/>
                        <w:sz w:val="28"/>
                      </w:rPr>
                      <w:t> </w:t>
                    </w:r>
                    <w:r>
                      <w:rPr>
                        <w:rFonts w:ascii="Arial"/>
                        <w:b/>
                        <w:sz w:val="28"/>
                      </w:rPr>
                      <w:t>DE</w:t>
                    </w:r>
                    <w:r>
                      <w:rPr>
                        <w:rFonts w:ascii="Arial"/>
                        <w:b/>
                        <w:spacing w:val="17"/>
                        <w:sz w:val="28"/>
                      </w:rPr>
                      <w:t> </w:t>
                    </w:r>
                    <w:r>
                      <w:rPr>
                        <w:rFonts w:ascii="Arial"/>
                        <w:b/>
                        <w:sz w:val="28"/>
                      </w:rPr>
                      <w:t>PERDIDAS</w:t>
                    </w:r>
                    <w:r>
                      <w:rPr>
                        <w:rFonts w:ascii="Arial"/>
                        <w:b/>
                        <w:spacing w:val="17"/>
                        <w:sz w:val="28"/>
                      </w:rPr>
                      <w:t> </w:t>
                    </w:r>
                    <w:r>
                      <w:rPr>
                        <w:rFonts w:ascii="Arial"/>
                        <w:b/>
                        <w:sz w:val="28"/>
                      </w:rPr>
                      <w:t>y</w:t>
                    </w:r>
                    <w:r>
                      <w:rPr>
                        <w:rFonts w:ascii="Arial"/>
                        <w:b/>
                        <w:spacing w:val="17"/>
                        <w:sz w:val="28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sz w:val="28"/>
                      </w:rPr>
                      <w:t>GANANCIAS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b/>
      <w:bCs/>
      <w:sz w:val="12"/>
      <w:szCs w:val="1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105" w:lineRule="exact"/>
      <w:jc w:val="right"/>
    </w:pPr>
    <w:rPr>
      <w:rFonts w:ascii="Courier New" w:hAnsi="Courier New" w:eastAsia="Courier New" w:cs="Courier New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2026-10-15T12:06:57Z</dcterms:created>
  <dcterms:modified xsi:type="dcterms:W3CDTF">2026-10-15T12:06:57Z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2021-04-17T00:00:00Z</vt:filetime>
  </property>
  <property fmtid="{D5CDD505-2E9C-101B-9397-08002B2CF9AE}" pid="3" name="Creator">
    <vt:lpwstr>Nitro Pro 8  (8. 5. 0. 26)</vt:lpwstr>
  </property>
  <property fmtid="{D5CDD505-2E9C-101B-9397-08002B2CF9AE}" pid="4" name="LastSaved">
    <vt:filetime>2026-10-15T00:00:00Z</vt:filetime>
  </property>
  <property fmtid="{D5CDD505-2E9C-101B-9397-08002B2CF9AE}" pid="5" name="Producer">
    <vt:lpwstr>Nitro Pro 8  (8. 5. 0. 26)</vt:lpwstr>
  </property>
</Properties>
</file>